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965DE1" w:rsidRPr="00965DE1" w:rsidP="00AE7C1E" w14:paraId="095717B8" w14:textId="77777777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965DE1">
        <w:rPr>
          <w:rFonts w:ascii="Times New Roman" w:hAnsi="Times New Roman" w:cs="Times New Roman"/>
          <w:b/>
          <w:noProof/>
          <w:sz w:val="26"/>
          <w:szCs w:val="26"/>
        </w:rPr>
        <w:t xml:space="preserve">Paskaidrojuma raksts </w:t>
      </w:r>
    </w:p>
    <w:p w:rsidR="00965DE1" w:rsidP="00AE7C1E" w14:paraId="095717B9" w14:textId="7A0A574E">
      <w:pPr>
        <w:spacing w:after="0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965DE1">
        <w:rPr>
          <w:rFonts w:ascii="Times New Roman" w:hAnsi="Times New Roman" w:cs="Times New Roman"/>
          <w:b/>
          <w:bCs/>
          <w:noProof/>
          <w:sz w:val="26"/>
          <w:szCs w:val="26"/>
        </w:rPr>
        <w:t>Rīgas domes 2023. gada 27. septembr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>a</w:t>
      </w:r>
      <w:r w:rsidRPr="00965DE1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saistošajiem noteikumiem Nr. RD-23-237-sn</w:t>
      </w:r>
    </w:p>
    <w:p w:rsidR="00AE7C1E" w:rsidP="00AE7C1E" w14:paraId="577354B1" w14:textId="77777777">
      <w:pPr>
        <w:spacing w:after="0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4E17DC" w:rsidRPr="00965DE1" w:rsidP="00AE7C1E" w14:paraId="095717BA" w14:textId="394CEED6">
      <w:pPr>
        <w:spacing w:after="0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t>“</w:t>
      </w:r>
      <w:r w:rsidRPr="00585195" w:rsidR="00585195">
        <w:rPr>
          <w:rFonts w:ascii="Times New Roman" w:hAnsi="Times New Roman" w:cs="Times New Roman"/>
          <w:b/>
          <w:bCs/>
          <w:noProof/>
          <w:sz w:val="26"/>
          <w:szCs w:val="26"/>
        </w:rPr>
        <w:t>Kārtība, kādā Rīgas valstspilsētas pašvaldība nodrošina izglītojamo ēdināšanas pakalpojuma līdzfinansējumu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>”</w:t>
      </w:r>
    </w:p>
    <w:p w:rsidR="00AE7C1E" w:rsidRPr="00965DE1" w:rsidP="00AE7C1E" w14:paraId="4E5306AB" w14:textId="77777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535353"/>
          <w:sz w:val="26"/>
          <w:szCs w:val="26"/>
          <w:lang w:eastAsia="lv-LV"/>
        </w:rPr>
      </w:pPr>
    </w:p>
    <w:tbl>
      <w:tblPr>
        <w:tblStyle w:val="TableGrid"/>
        <w:tblW w:w="9634" w:type="dxa"/>
        <w:tblLook w:val="04A0"/>
      </w:tblPr>
      <w:tblGrid>
        <w:gridCol w:w="9634"/>
      </w:tblGrid>
      <w:tr w14:paraId="095717C6" w14:textId="77777777" w:rsidTr="00AE7C1E">
        <w:tblPrEx>
          <w:tblW w:w="9634" w:type="dxa"/>
          <w:tblLook w:val="04A0"/>
        </w:tblPrEx>
        <w:trPr>
          <w:trHeight w:val="654"/>
        </w:trPr>
        <w:tc>
          <w:tcPr>
            <w:tcW w:w="9634" w:type="dxa"/>
            <w:shd w:val="clear" w:color="auto" w:fill="auto"/>
          </w:tcPr>
          <w:p w:rsidR="007752F6" w:rsidRPr="00441D3B" w:rsidP="00AE7C1E" w14:paraId="095717BC" w14:textId="777777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441D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t xml:space="preserve">1. Mērķi un nepieciešamības </w:t>
            </w:r>
            <w:r w:rsidRPr="00441D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t>pamatojums, tostarp raksturojot iespējamās alternatīvas, kas neparedz tiesiskā regulējuma izstrādi</w:t>
            </w:r>
          </w:p>
          <w:p w:rsidR="00585195" w:rsidRPr="00585195" w:rsidP="00AE7C1E" w14:paraId="095717BE" w14:textId="67A47E59">
            <w:pPr>
              <w:ind w:firstLine="74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585195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lv-LV"/>
              </w:rPr>
              <w:t xml:space="preserve">Saistošie noteikumi nosaka Rīgas valstspilsētas pašvaldības (turpmāk – </w:t>
            </w:r>
            <w:r w:rsidR="00A446F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lv-LV"/>
              </w:rPr>
              <w:t>p</w:t>
            </w:r>
            <w:r w:rsidRPr="00585195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lv-LV"/>
              </w:rPr>
              <w:t>ašvaldība) administratīvajā teritorijā esošo vispārējās izglītības iestāžu (turpmāk –</w:t>
            </w:r>
            <w:r w:rsidRPr="00585195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lv-LV"/>
              </w:rPr>
              <w:t xml:space="preserve"> izglītības iestāde) klātienes mācību izglītojamo ēdināšanas pakalpojuma līdzfinansējuma (turpmāk – pašvaldības līdzfinansējums) saņemšanas nosacījumus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.</w:t>
            </w:r>
          </w:p>
          <w:p w:rsidR="00585195" w:rsidRPr="00585195" w:rsidP="00AE7C1E" w14:paraId="095717BF" w14:textId="2F308A9E">
            <w:pPr>
              <w:ind w:firstLine="741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  <w:shd w:val="clear" w:color="auto" w:fill="FFFFFF"/>
              </w:rPr>
            </w:pP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Izglītības likuma 17.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 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panta trešās daļas 11.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 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punkt</w:t>
            </w:r>
            <w:r w:rsidR="000E2ED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ā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 notei</w:t>
            </w:r>
            <w:r w:rsidR="000E2ED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kts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, ka pašvaldība nosaka tos izglītojamos, ku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ru ēdināšanas izmaksas sedz pašvaldība. Saskaņā ar Izglītības likuma 17.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 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panta trešās daļas 11.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 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punktā noteikto </w:t>
            </w:r>
            <w:r w:rsidR="00A446F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p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ašvaldībai ir pienākums paredzēt vismaz vienu skolēnu kategoriju, kurai tā apmaksā brīvpusdienas skolā.</w:t>
            </w:r>
          </w:p>
          <w:p w:rsidR="00585195" w:rsidRPr="00585195" w:rsidP="00AE7C1E" w14:paraId="095717C0" w14:textId="74428DD0">
            <w:pPr>
              <w:ind w:firstLine="741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</w:pPr>
            <w:r w:rsidRPr="00585195">
              <w:rPr>
                <w:rFonts w:ascii="Times New Roman" w:eastAsia="Calibri" w:hAnsi="Times New Roman" w:cs="Times New Roman"/>
                <w:noProof/>
                <w:sz w:val="26"/>
                <w:szCs w:val="26"/>
                <w:shd w:val="clear" w:color="auto" w:fill="FFFFFF"/>
              </w:rPr>
              <w:t xml:space="preserve">Saistošajos noteikumos noteiktā </w:t>
            </w:r>
            <w:r w:rsidRPr="00585195">
              <w:rPr>
                <w:rFonts w:ascii="Times New Roman" w:eastAsia="Calibri" w:hAnsi="Times New Roman" w:cs="Times New Roman"/>
                <w:noProof/>
                <w:sz w:val="26"/>
                <w:szCs w:val="26"/>
                <w:shd w:val="clear" w:color="auto" w:fill="FFFFFF"/>
              </w:rPr>
              <w:t>pašvaldības brīvprātīg</w:t>
            </w:r>
            <w:r w:rsidR="004834C8">
              <w:rPr>
                <w:rFonts w:ascii="Times New Roman" w:eastAsia="Calibri" w:hAnsi="Times New Roman" w:cs="Times New Roman"/>
                <w:noProof/>
                <w:sz w:val="26"/>
                <w:szCs w:val="26"/>
                <w:shd w:val="clear" w:color="auto" w:fill="FFFFFF"/>
              </w:rPr>
              <w:t>ā</w:t>
            </w:r>
            <w:r w:rsidRPr="00585195">
              <w:rPr>
                <w:rFonts w:ascii="Times New Roman" w:eastAsia="Calibri" w:hAnsi="Times New Roman" w:cs="Times New Roman"/>
                <w:noProof/>
                <w:sz w:val="26"/>
                <w:szCs w:val="26"/>
                <w:shd w:val="clear" w:color="auto" w:fill="FFFFFF"/>
              </w:rPr>
              <w:t xml:space="preserve"> iniciatīva ir attiecināma tikai uz ēdināšanas izdevumu segšanu tiem izglītojamiem, kas </w:t>
            </w:r>
            <w:r w:rsidRPr="00585195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  <w:t>neietilpst Izglītības likuma</w:t>
            </w:r>
            <w:r w:rsidRPr="0058519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 17. panta trešās daļas 13. punkta un </w:t>
            </w:r>
            <w:r w:rsidRPr="00585195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  <w:t>59. panta 3.</w:t>
            </w:r>
            <w:r w:rsidRPr="00585195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  <w:vertAlign w:val="superscript"/>
              </w:rPr>
              <w:t>1 </w:t>
            </w:r>
            <w:r w:rsidRPr="00585195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  <w:t xml:space="preserve">daļas tvērumā. </w:t>
            </w:r>
          </w:p>
          <w:p w:rsidR="00585195" w:rsidRPr="00585195" w:rsidP="00AE7C1E" w14:paraId="095717C1" w14:textId="77777777">
            <w:pPr>
              <w:ind w:firstLine="74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Saistošie noteikumi nepieciešami, lai ar ārējo normatīvo aktu noteiktu kārtību, kādā pašvaldība nodrošina līdzfinansējumu izglītojamā ēdināšanas pakalpojuma saņemšanai, tai skaitā detalizēti noteiktu kārtību, kādā </w:t>
            </w:r>
            <w:r w:rsidR="00A446F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p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ašvaldības izglītības iestādes nepilngadī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gā izglītojamā vecāks (persona, kura realizē izglītojamā aizgādību) vai pilngadīgais izglītojamais un ēdināšanas pakalpojuma sniedzējs slēdz līgumu, lai saņemtu pašvaldības līdzfinansējumu par ēdināšanas pakalpojumu.</w:t>
            </w:r>
          </w:p>
          <w:p w:rsidR="00585195" w:rsidRPr="00585195" w:rsidP="00AE7C1E" w14:paraId="095717C2" w14:textId="77777777">
            <w:pPr>
              <w:ind w:firstLine="74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Saistošie noteikumi nosaka izglītojamo 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sociālās kategorijas un ēdināšanas pakalpojuma pašvaldības līdzfinansējuma piešķiršanas kārtību</w:t>
            </w:r>
            <w:r w:rsidR="001B1E3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,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 un tie paredz, ka</w:t>
            </w:r>
            <w:r w:rsidR="00A446F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,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 izvērtējot pašvaldības budžeta iespējas un saistības sociālo tiesību jomā, </w:t>
            </w:r>
            <w:r w:rsidR="00A446F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p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ašvaldība ar atsevišķu lēmumu nosaka izglītojamo kategorijas (ie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vērojot saistošajos noteikumos noteiktās izglītojamo kategorijas ar sociālo statusu), kuru ēdināšanas izmaksas sedz </w:t>
            </w:r>
            <w:r w:rsidR="00A446F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p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ašvaldība, nosakot pašvaldības līdzfinansējuma pilno vai daļējo apmēru.</w:t>
            </w:r>
          </w:p>
          <w:p w:rsidR="00585195" w:rsidRPr="00585195" w:rsidP="00AE7C1E" w14:paraId="095717C3" w14:textId="7D8284F7">
            <w:pPr>
              <w:ind w:firstLine="74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Saistošie noteikumi paredz, ka līdz 2024.</w:t>
            </w:r>
            <w:r w:rsidR="00441D3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 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gada 31.</w:t>
            </w:r>
            <w:r w:rsidR="00441D3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 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augustam pašvald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ības līdzfinansējums tiek noteikts </w:t>
            </w:r>
            <w:r w:rsidR="00A446F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p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ašvaldības izglītības iestādes klātienes mācību izglītojamam, kā arī </w:t>
            </w:r>
            <w:r w:rsidR="00A446F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p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ašvaldības administratīvajā teritorijā esošās privātās pirmsskolas izglītības iestādes izglītojamam, ja izglītojamā dzīvesvieta ir deklarēta </w:t>
            </w:r>
            <w:r w:rsidR="00A446F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p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ašvaldīb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as administratīvajā teritorijā.</w:t>
            </w:r>
          </w:p>
          <w:p w:rsidR="00585195" w:rsidRPr="00585195" w:rsidP="00AE7C1E" w14:paraId="095717C4" w14:textId="235EBDCB">
            <w:pPr>
              <w:ind w:firstLine="74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Saistošie noteikumi nosaka, ka no 2024.</w:t>
            </w:r>
            <w:r w:rsidR="00441D3B">
              <w:rPr>
                <w:noProof/>
              </w:rPr>
              <w:t> 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gada 1.</w:t>
            </w:r>
            <w:r w:rsidR="00441D3B">
              <w:rPr>
                <w:noProof/>
              </w:rPr>
              <w:t> 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septembra pašvaldības līdzfinansējums tiek noteikts </w:t>
            </w:r>
            <w:r w:rsidR="00A446F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p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ašvaldības izglītības iestāžu klātienes mācību izglītojamam, ja izglītojamā dzīvesvieta ir deklarēta </w:t>
            </w:r>
            <w:r w:rsidR="00A446F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p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ašvaldības administra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tīvajā teritorijā, kā arī </w:t>
            </w:r>
            <w:r w:rsidR="00A446F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p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ašvaldības administratīvajā teritorijā esošo (valsts vai privāto) izglītības iestāžu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br/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(turpmāk – cita dibinātāja izglītības iestāde) klātienes mācību izglītojamam, ja izglītojamā dzīvesvieta ir deklarēta </w:t>
            </w:r>
            <w:r w:rsidR="00A446F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p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ašvaldības administratīv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ajā teritorijā.</w:t>
            </w:r>
          </w:p>
          <w:p w:rsidR="00441D3B" w:rsidP="00AE7C1E" w14:paraId="78FA913E" w14:textId="77777777">
            <w:pPr>
              <w:shd w:val="clear" w:color="auto" w:fill="FFFFFF"/>
              <w:ind w:firstLine="74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441D3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Saistošie noteikumi nosaka, ka no 2024.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 </w:t>
            </w:r>
            <w:r w:rsidRPr="00441D3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gada 1.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 </w:t>
            </w:r>
            <w:r w:rsidRPr="00441D3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septembra </w:t>
            </w:r>
            <w:r w:rsidR="00A446F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p</w:t>
            </w:r>
            <w:r w:rsidRPr="00441D3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ašvaldības administratīvajā teritorijā esošo citu dibinātāju (valsts vai privātpersonu) vispārējās izglītības iestāžu klātienes mācību izglītojamo atbilstoši </w:t>
            </w:r>
            <w:r w:rsidR="00A446F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p</w:t>
            </w:r>
            <w:r w:rsidRPr="00441D3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ašvaldības lēmumam noteiktais ēdināšanas pakalpojuma līdzfinansējums tiek aprēķināts un pārskaitī</w:t>
            </w:r>
            <w:r w:rsidRPr="00441D3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ts cita dibinātāja izglītības iestādei atbilstoši Valsts izglītības informācijas sistēmas (VIIS) un pašvaldības informācijas sistēmu datiem par izglītojamiem, noslēdzot vienošanos ar izglītības iestādi par norēķinu kārtību.</w:t>
            </w:r>
          </w:p>
          <w:p w:rsidR="00530DBA" w:rsidRPr="00441D3B" w:rsidP="00AE7C1E" w14:paraId="095717C5" w14:textId="79C440E5">
            <w:pPr>
              <w:shd w:val="clear" w:color="auto" w:fill="FFFFFF"/>
              <w:ind w:firstLine="74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</w:p>
        </w:tc>
      </w:tr>
      <w:tr w14:paraId="095717D1" w14:textId="77777777" w:rsidTr="00AE7C1E">
        <w:tblPrEx>
          <w:tblW w:w="9634" w:type="dxa"/>
          <w:tblLook w:val="04A0"/>
        </w:tblPrEx>
        <w:tc>
          <w:tcPr>
            <w:tcW w:w="9634" w:type="dxa"/>
          </w:tcPr>
          <w:p w:rsidR="007752F6" w:rsidRPr="00441D3B" w:rsidP="00CD5B22" w14:paraId="095717C7" w14:textId="38474A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441D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t xml:space="preserve">2. Fiskālā ietekme uz </w:t>
            </w:r>
            <w:r w:rsidRPr="00441D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t>pašvaldības budžetu, iekļaujot attiecīgus aprēķinus</w:t>
            </w:r>
          </w:p>
          <w:p w:rsidR="00585195" w:rsidRPr="00585195" w:rsidP="00AE7C1E" w14:paraId="095717C9" w14:textId="77777777">
            <w:pPr>
              <w:shd w:val="clear" w:color="auto" w:fill="FFFFFF"/>
              <w:ind w:firstLine="74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Pašvaldības administratīvajā teritorijā deklarēto izglītojamo skaits:</w:t>
            </w:r>
          </w:p>
          <w:p w:rsidR="00585195" w:rsidRPr="00585195" w:rsidP="00922ED2" w14:paraId="095717CB" w14:textId="0C925082">
            <w:pPr>
              <w:shd w:val="clear" w:color="auto" w:fill="FFFFFF"/>
              <w:ind w:firstLine="74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1) pašvaldības izglītības iestādēs </w:t>
            </w:r>
            <w:r w:rsidR="00616CC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– 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90</w:t>
            </w:r>
            <w:r w:rsidR="00441D3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 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651</w:t>
            </w:r>
            <w:r w:rsidR="00441D3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,</w:t>
            </w:r>
            <w:r w:rsidR="006434C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 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t</w:t>
            </w:r>
            <w:r w:rsidR="006434C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ai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 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sk</w:t>
            </w:r>
            <w:r w:rsidR="006434C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aitā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 sociālo kategoriju</w:t>
            </w:r>
            <w:r w:rsidR="00922ED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 –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 11</w:t>
            </w:r>
            <w:r w:rsidR="00441D3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 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043</w:t>
            </w:r>
            <w:r w:rsidR="00441D3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;</w:t>
            </w:r>
          </w:p>
          <w:p w:rsidR="00585195" w:rsidRPr="00585195" w:rsidP="00922ED2" w14:paraId="095717CD" w14:textId="585D98FA">
            <w:pPr>
              <w:shd w:val="clear" w:color="auto" w:fill="FFFFFF"/>
              <w:ind w:firstLine="74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2) citu dibinātāju izglītības iestādēs</w:t>
            </w:r>
            <w:r w:rsidR="00616CC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 –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 11</w:t>
            </w:r>
            <w:r w:rsidR="00616CC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 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365</w:t>
            </w:r>
            <w:r w:rsidR="00441D3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,</w:t>
            </w:r>
            <w:r w:rsidR="00922ED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 </w:t>
            </w:r>
            <w:r w:rsidR="006434C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tai 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sk</w:t>
            </w:r>
            <w:r w:rsidR="006434C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aitā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 sociālo kategoriju </w:t>
            </w:r>
            <w:r w:rsidR="00922ED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– 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1253</w:t>
            </w:r>
            <w:r w:rsidR="00441D3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.</w:t>
            </w:r>
          </w:p>
          <w:p w:rsidR="00D865F3" w:rsidRPr="00AE7C1E" w:rsidP="00AE7C1E" w14:paraId="095717D0" w14:textId="21F512CA">
            <w:pPr>
              <w:shd w:val="clear" w:color="auto" w:fill="FFFFFF"/>
              <w:ind w:firstLine="74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Plānotā ietekme uz 2023.</w:t>
            </w:r>
            <w:r w:rsidR="00441D3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 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gada budžetu – nav nepieciešams budžeta līdzekļu palielinājums, ietekme uz 2024.</w:t>
            </w:r>
            <w:r w:rsidR="00441D3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 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gada budžetu – palielinājums </w:t>
            </w:r>
            <w:r w:rsidR="00D26C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7 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miljoni </w:t>
            </w:r>
            <w:r w:rsidRPr="00585195"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eastAsia="lv-LV"/>
              </w:rPr>
              <w:t>euro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.</w:t>
            </w:r>
          </w:p>
        </w:tc>
      </w:tr>
      <w:tr w14:paraId="095717D6" w14:textId="77777777" w:rsidTr="00AE7C1E">
        <w:tblPrEx>
          <w:tblW w:w="9634" w:type="dxa"/>
          <w:tblLook w:val="04A0"/>
        </w:tblPrEx>
        <w:tc>
          <w:tcPr>
            <w:tcW w:w="9634" w:type="dxa"/>
          </w:tcPr>
          <w:p w:rsidR="007752F6" w:rsidRPr="00441D3B" w:rsidP="00CD5B22" w14:paraId="095717D2" w14:textId="777777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441D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t xml:space="preserve">3. Sociālā ietekme, ietekme uz vidi, iedzīvotāju </w:t>
            </w:r>
            <w:r w:rsidRPr="00441D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t>veselību, uzņēmējdarbības vidi pašvaldības teritorijā, kā arī plānotā regulējuma ietekme uz konkurenci (aktuālā situācija, prognozes tirgū un atbilstība brīvai un godīgai konkurencei)</w:t>
            </w:r>
          </w:p>
          <w:p w:rsidR="00585195" w:rsidRPr="00585195" w:rsidP="00AE7C1E" w14:paraId="095717D4" w14:textId="77777777">
            <w:pPr>
              <w:ind w:firstLine="74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Saistošie noteikumi paredz kārtību</w:t>
            </w:r>
            <w:r w:rsidR="00A446F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,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 kādā komersants, sniedzot ēdināšanas pakalpojumu </w:t>
            </w:r>
            <w:r w:rsidR="00A446F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p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ašvaldības iestādē, slēdz līgumu par konkrēta izglītojamā ēdināšanas pakalpojumu, ja ēdināšanas izdevumi daļēji ir sedzami ar </w:t>
            </w:r>
            <w:r w:rsidR="00A446F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p</w:t>
            </w:r>
            <w:r w:rsidRPr="005851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ašvaldības līdzfinansējumu un daļēji no vecāku finanšu līdzekļiem.</w:t>
            </w:r>
          </w:p>
          <w:p w:rsidR="00D865F3" w:rsidRPr="00441D3B" w:rsidP="00AE7C1E" w14:paraId="095717D5" w14:textId="77777777">
            <w:pPr>
              <w:shd w:val="clear" w:color="auto" w:fill="FFFFFF"/>
              <w:ind w:firstLine="741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441D3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Saistošie </w:t>
            </w:r>
            <w:r w:rsidRPr="00441D3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noteikumi neietekmē ēdināšanas pakalpojuma iepirkuma līgumā noteikto maksas lielumu un regulējumam nav ietekmes uz konkurenci.</w:t>
            </w:r>
          </w:p>
        </w:tc>
      </w:tr>
      <w:tr w14:paraId="095717DA" w14:textId="77777777" w:rsidTr="00AE7C1E">
        <w:tblPrEx>
          <w:tblW w:w="9634" w:type="dxa"/>
          <w:tblLook w:val="04A0"/>
        </w:tblPrEx>
        <w:tc>
          <w:tcPr>
            <w:tcW w:w="9634" w:type="dxa"/>
          </w:tcPr>
          <w:p w:rsidR="007752F6" w:rsidRPr="00441D3B" w:rsidP="00CD5B22" w14:paraId="095717D7" w14:textId="777777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441D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t>4. Ietekme uz administratīvajām procedūrām un to izmaksām gan attiecībā uz saimnieciskās darbības veicējiem, gan fiziskajām pers</w:t>
            </w:r>
            <w:r w:rsidRPr="00441D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t>onām un nevalstiskā sektora organizācijām, gan budžeta finansētām institūcijām</w:t>
            </w:r>
          </w:p>
          <w:p w:rsidR="00D865F3" w:rsidRPr="00441D3B" w:rsidP="00AE7C1E" w14:paraId="095717D9" w14:textId="77777777">
            <w:pPr>
              <w:ind w:firstLine="741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Saistošie n</w:t>
            </w:r>
            <w:r w:rsidRPr="00441D3B" w:rsidR="0088468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oteikumi nodrošina tiesisko pamatojumu un ietvaru </w:t>
            </w:r>
            <w:r w:rsidR="00A446F2">
              <w:rPr>
                <w:rFonts w:ascii="Times New Roman" w:hAnsi="Times New Roman" w:cs="Times New Roman"/>
                <w:noProof/>
                <w:sz w:val="26"/>
                <w:szCs w:val="26"/>
              </w:rPr>
              <w:t>p</w:t>
            </w:r>
            <w:r w:rsidRPr="00441D3B" w:rsidR="0088468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ašvaldības līdzfinansējuma saņemšanai izglītojamā ēdināšanas pakalpojuma izdevumu segšanai un </w:t>
            </w:r>
            <w:r w:rsidR="00A446F2">
              <w:rPr>
                <w:rFonts w:ascii="Times New Roman" w:hAnsi="Times New Roman" w:cs="Times New Roman"/>
                <w:noProof/>
                <w:sz w:val="26"/>
                <w:szCs w:val="26"/>
              </w:rPr>
              <w:t>p</w:t>
            </w:r>
            <w:r w:rsidRPr="00441D3B" w:rsidR="00884688">
              <w:rPr>
                <w:rFonts w:ascii="Times New Roman" w:hAnsi="Times New Roman" w:cs="Times New Roman"/>
                <w:noProof/>
                <w:sz w:val="26"/>
                <w:szCs w:val="26"/>
              </w:rPr>
              <w:t>ašvaldības līdzfinansējuma piešķiršanas kontrolei, nosakot administratīvās procedūras un iesaistīto pušu tiesības un pienākumus.</w:t>
            </w:r>
          </w:p>
        </w:tc>
      </w:tr>
      <w:tr w14:paraId="095717DE" w14:textId="77777777" w:rsidTr="00AE7C1E">
        <w:tblPrEx>
          <w:tblW w:w="9634" w:type="dxa"/>
          <w:tblLook w:val="04A0"/>
        </w:tblPrEx>
        <w:tc>
          <w:tcPr>
            <w:tcW w:w="9634" w:type="dxa"/>
          </w:tcPr>
          <w:p w:rsidR="007752F6" w:rsidRPr="00441D3B" w:rsidP="00CD5B22" w14:paraId="095717DB" w14:textId="777777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441D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t>5. Ietekme uz pašvaldības funkcijām un cilvēkresursiem</w:t>
            </w:r>
          </w:p>
          <w:p w:rsidR="00D865F3" w:rsidRPr="00441D3B" w:rsidP="00AE7C1E" w14:paraId="095717DD" w14:textId="77777777">
            <w:pPr>
              <w:ind w:firstLine="741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42588F">
              <w:rPr>
                <w:rFonts w:ascii="Times New Roman" w:hAnsi="Times New Roman" w:cs="Times New Roman"/>
                <w:noProof/>
                <w:sz w:val="26"/>
                <w:szCs w:val="26"/>
              </w:rPr>
              <w:t>Izglītības iestāžu izglītojamo ēdināšanas  pakalpojuma līdzfinansējuma administrēšanai papi</w:t>
            </w:r>
            <w:r w:rsidRPr="0042588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ldus </w:t>
            </w:r>
            <w:r w:rsidR="00EC7C72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ir </w:t>
            </w:r>
            <w:r w:rsidRPr="0042588F">
              <w:rPr>
                <w:rFonts w:ascii="Times New Roman" w:hAnsi="Times New Roman" w:cs="Times New Roman"/>
                <w:noProof/>
                <w:sz w:val="26"/>
                <w:szCs w:val="26"/>
              </w:rPr>
              <w:t>nepieciešams izstrādāt un ieviest lietojumprogrammu papildinājumus un automātiskās datu apmaiņas servisus, kas nodrošinās līdzfinansējuma piešķiršanas prasību izpildes kontroli elektroniskā vidē, samazinot cilvēkresursu un laika patēriņu.</w:t>
            </w:r>
          </w:p>
        </w:tc>
      </w:tr>
      <w:tr w14:paraId="095717E2" w14:textId="77777777" w:rsidTr="00AE7C1E">
        <w:tblPrEx>
          <w:tblW w:w="9634" w:type="dxa"/>
          <w:tblLook w:val="04A0"/>
        </w:tblPrEx>
        <w:tc>
          <w:tcPr>
            <w:tcW w:w="9634" w:type="dxa"/>
          </w:tcPr>
          <w:p w:rsidR="00441D3B" w:rsidRPr="00AE7C1E" w:rsidP="00AE7C1E" w14:paraId="095717E0" w14:textId="75144011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441D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t xml:space="preserve">6. </w:t>
            </w:r>
            <w:r w:rsidRPr="00441D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t>Izpildes nodrošināšana</w:t>
            </w:r>
          </w:p>
          <w:p w:rsidR="00D865F3" w:rsidRPr="00441D3B" w:rsidP="00AE7C1E" w14:paraId="095717E1" w14:textId="77777777">
            <w:pPr>
              <w:ind w:firstLine="741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441D3B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Saistošo noteikumu izpildes uzraudzību nodrošinās </w:t>
            </w:r>
            <w:r w:rsidR="00112D24">
              <w:rPr>
                <w:rFonts w:ascii="Times New Roman" w:hAnsi="Times New Roman" w:cs="Times New Roman"/>
                <w:noProof/>
                <w:sz w:val="26"/>
                <w:szCs w:val="26"/>
              </w:rPr>
              <w:t>pašvaldības</w:t>
            </w:r>
            <w:r w:rsidRPr="00441D3B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Izglītības, kultūras un sporta departaments.</w:t>
            </w:r>
          </w:p>
        </w:tc>
      </w:tr>
      <w:tr w14:paraId="095717E6" w14:textId="77777777" w:rsidTr="00AE7C1E">
        <w:tblPrEx>
          <w:tblW w:w="9634" w:type="dxa"/>
          <w:tblLook w:val="04A0"/>
        </w:tblPrEx>
        <w:tc>
          <w:tcPr>
            <w:tcW w:w="9634" w:type="dxa"/>
          </w:tcPr>
          <w:p w:rsidR="007752F6" w:rsidRPr="00441D3B" w:rsidP="00444237" w14:paraId="095717E3" w14:textId="777777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441D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t>7. Prasību un izmaksu samērīgums pret ieguvumiem, ko sniedz mērķa sasniegšana</w:t>
            </w:r>
          </w:p>
          <w:p w:rsidR="00D865F3" w:rsidRPr="00441D3B" w:rsidP="00AE7C1E" w14:paraId="095717E5" w14:textId="0352A444">
            <w:pPr>
              <w:ind w:firstLine="741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6"/>
                <w:szCs w:val="26"/>
                <w:lang w:eastAsia="lv-LV"/>
              </w:rPr>
              <w:t xml:space="preserve">Saistošie noteikumi nodrošina nepieciešamo </w:t>
            </w:r>
            <w:r w:rsidR="00F25152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6"/>
                <w:szCs w:val="26"/>
                <w:lang w:eastAsia="lv-LV"/>
              </w:rPr>
              <w:t xml:space="preserve">tiesisko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6"/>
                <w:szCs w:val="26"/>
                <w:lang w:eastAsia="lv-LV"/>
              </w:rPr>
              <w:t xml:space="preserve">regulējumu </w:t>
            </w:r>
            <w:r w:rsidR="00A446F2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6"/>
                <w:szCs w:val="26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6"/>
                <w:szCs w:val="26"/>
                <w:lang w:eastAsia="lv-LV"/>
              </w:rPr>
              <w:t>ašvaldības</w:t>
            </w:r>
            <w:r w:rsidR="00110298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6"/>
                <w:szCs w:val="26"/>
                <w:lang w:eastAsia="lv-LV"/>
              </w:rPr>
              <w:t xml:space="preserve"> brīvprātīgās iniciatīvas īstenošanai </w:t>
            </w:r>
            <w:r w:rsidR="006434CB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6"/>
                <w:szCs w:val="26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6"/>
                <w:szCs w:val="26"/>
                <w:lang w:eastAsia="lv-LV"/>
              </w:rPr>
              <w:t xml:space="preserve"> līdzfinansējuma piešķiršanai noteiktām izglītojamo kategorijām </w:t>
            </w:r>
            <w:r w:rsidRPr="008E0AE1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6"/>
                <w:szCs w:val="26"/>
                <w:lang w:eastAsia="lv-LV"/>
              </w:rPr>
              <w:t>ēdināšanas pakalpojuma izmaksu segšanai</w:t>
            </w:r>
            <w:r w:rsidR="006434CB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6"/>
                <w:szCs w:val="26"/>
                <w:lang w:eastAsia="lv-LV"/>
              </w:rPr>
              <w:t>.</w:t>
            </w:r>
          </w:p>
        </w:tc>
      </w:tr>
      <w:tr w14:paraId="095717EA" w14:textId="77777777" w:rsidTr="00AE7C1E">
        <w:tblPrEx>
          <w:tblW w:w="9634" w:type="dxa"/>
          <w:tblLook w:val="04A0"/>
        </w:tblPrEx>
        <w:tc>
          <w:tcPr>
            <w:tcW w:w="9634" w:type="dxa"/>
          </w:tcPr>
          <w:p w:rsidR="007752F6" w:rsidRPr="00441D3B" w:rsidP="00444237" w14:paraId="095717E7" w14:textId="777777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441D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t xml:space="preserve">8. Izstrādes gaitā veiktās konsultācijas ar privātpersonām un </w:t>
            </w:r>
            <w:r w:rsidRPr="00441D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t>institūcijām, tostarp sabiedrības viedokļa noskaidrošanā gūtā informācija</w:t>
            </w:r>
          </w:p>
          <w:p w:rsidR="00441D3B" w:rsidP="00AE7C1E" w14:paraId="095717E8" w14:textId="1A011C4A">
            <w:pPr>
              <w:ind w:firstLine="74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Tika veiktas k</w:t>
            </w:r>
            <w:r w:rsidRPr="007E5795" w:rsidR="007E57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onsultācijas ar Izglītības iestāžu ēdinātāju asociāciju un Latvijas Ēdinātāju </w:t>
            </w:r>
            <w:r w:rsidR="00E9381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a</w:t>
            </w:r>
            <w:r w:rsidRPr="007E5795" w:rsidR="007E579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pvienību.</w:t>
            </w:r>
          </w:p>
          <w:p w:rsidR="00D865F3" w:rsidRPr="00441D3B" w:rsidP="00AE7C1E" w14:paraId="095717E9" w14:textId="3E75729D">
            <w:pPr>
              <w:ind w:firstLine="741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441D3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Saistoš</w:t>
            </w:r>
            <w:r w:rsidR="00E9381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o </w:t>
            </w:r>
            <w:r w:rsidRPr="00441D3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 noteikum</w:t>
            </w:r>
            <w:r w:rsidR="00E9381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u</w:t>
            </w:r>
            <w:r w:rsidRPr="00441D3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 </w:t>
            </w:r>
            <w:r w:rsidR="00E9381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projekts </w:t>
            </w:r>
            <w:r w:rsidRPr="00441D3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un tam pievienotais paskaidrojuma raksts </w:t>
            </w:r>
            <w:r w:rsidRPr="00441D3B" w:rsidR="00A42CD9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laik</w:t>
            </w:r>
            <w:r w:rsidR="00A42CD9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posmā </w:t>
            </w:r>
            <w:r w:rsidRPr="00441D3B" w:rsidR="00A42CD9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no 2023. gada </w:t>
            </w:r>
            <w:r w:rsidR="00A42CD9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12</w:t>
            </w:r>
            <w:r w:rsidRPr="00441D3B" w:rsidR="00A42CD9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.</w:t>
            </w:r>
            <w:r w:rsidR="00A42CD9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 </w:t>
            </w:r>
            <w:r w:rsidRPr="00441D3B" w:rsidR="00A42CD9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jūlija līdz </w:t>
            </w:r>
            <w:r w:rsidR="00A42CD9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2023. gada 26</w:t>
            </w:r>
            <w:r w:rsidRPr="00441D3B" w:rsidR="00A42CD9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.</w:t>
            </w:r>
            <w:r w:rsidR="00A42CD9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 </w:t>
            </w:r>
            <w:r w:rsidRPr="00441D3B" w:rsidR="00A42CD9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jūlijam </w:t>
            </w:r>
            <w:r w:rsidRPr="00441D3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tika publicēts pašvaldības oficiālajā tīmekļvietnē sabiedrības viedokļa noskaidrošanai. </w:t>
            </w:r>
            <w:r w:rsidR="009668F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Nav s</w:t>
            </w:r>
            <w:r w:rsidRPr="00441D3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aņemti priekšlikumi, iebildumi un komentāri</w:t>
            </w:r>
            <w:r w:rsidR="00436926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.</w:t>
            </w:r>
          </w:p>
        </w:tc>
      </w:tr>
    </w:tbl>
    <w:p w:rsidR="007752F6" w:rsidP="007B4B47" w14:paraId="095717EB" w14:textId="1B4B6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</w:pPr>
    </w:p>
    <w:p w:rsidR="007B4B47" w:rsidP="00931316" w14:paraId="370DBE35" w14:textId="77777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</w:pPr>
    </w:p>
    <w:p w:rsidR="00CD45C4" w:rsidP="007B4B47" w14:paraId="09D31BC7" w14:textId="77777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</w:pPr>
    </w:p>
    <w:p w:rsidR="00FA3E04" w:rsidRPr="00441D3B" w:rsidP="00AE7C1E" w14:paraId="095717EF" w14:textId="77E1C5C8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Rīgas d</w:t>
      </w:r>
      <w:r w:rsidRPr="00965DE1">
        <w:rPr>
          <w:rFonts w:ascii="Times New Roman" w:hAnsi="Times New Roman" w:cs="Times New Roman"/>
          <w:noProof/>
          <w:sz w:val="26"/>
          <w:szCs w:val="26"/>
        </w:rPr>
        <w:t>omes priekšsēdētāj</w:t>
      </w:r>
      <w:r>
        <w:rPr>
          <w:rFonts w:ascii="Times New Roman" w:hAnsi="Times New Roman" w:cs="Times New Roman"/>
          <w:noProof/>
          <w:sz w:val="26"/>
          <w:szCs w:val="26"/>
        </w:rPr>
        <w:t>s</w:t>
      </w:r>
      <w:r w:rsidR="00585195">
        <w:rPr>
          <w:rFonts w:ascii="Times New Roman" w:hAnsi="Times New Roman" w:cs="Times New Roman"/>
          <w:noProof/>
          <w:sz w:val="26"/>
          <w:szCs w:val="26"/>
        </w:rPr>
        <w:tab/>
      </w:r>
      <w:r w:rsidRPr="00965DE1">
        <w:rPr>
          <w:rFonts w:ascii="Times New Roman" w:hAnsi="Times New Roman" w:cs="Times New Roman"/>
          <w:noProof/>
          <w:sz w:val="26"/>
          <w:szCs w:val="26"/>
        </w:rPr>
        <w:tab/>
      </w:r>
      <w:r w:rsidRPr="00965DE1">
        <w:rPr>
          <w:rFonts w:ascii="Times New Roman" w:hAnsi="Times New Roman" w:cs="Times New Roman"/>
          <w:noProof/>
          <w:sz w:val="26"/>
          <w:szCs w:val="26"/>
        </w:rPr>
        <w:tab/>
      </w:r>
      <w:r w:rsidRPr="00965DE1">
        <w:rPr>
          <w:rFonts w:ascii="Times New Roman" w:hAnsi="Times New Roman" w:cs="Times New Roman"/>
          <w:noProof/>
          <w:sz w:val="26"/>
          <w:szCs w:val="26"/>
        </w:rPr>
        <w:tab/>
      </w:r>
      <w:r w:rsidRPr="00965DE1">
        <w:rPr>
          <w:rFonts w:ascii="Times New Roman" w:hAnsi="Times New Roman" w:cs="Times New Roman"/>
          <w:noProof/>
          <w:sz w:val="26"/>
          <w:szCs w:val="26"/>
        </w:rPr>
        <w:tab/>
      </w:r>
      <w:r w:rsidRPr="00965DE1">
        <w:rPr>
          <w:rFonts w:ascii="Times New Roman" w:hAnsi="Times New Roman" w:cs="Times New Roman"/>
          <w:noProof/>
          <w:sz w:val="26"/>
          <w:szCs w:val="26"/>
        </w:rPr>
        <w:tab/>
      </w:r>
      <w:r w:rsidRPr="00965DE1"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</w:t>
      </w:r>
      <w:r w:rsidR="00585195">
        <w:rPr>
          <w:rFonts w:ascii="Times New Roman" w:hAnsi="Times New Roman" w:cs="Times New Roman"/>
          <w:noProof/>
          <w:sz w:val="26"/>
          <w:szCs w:val="26"/>
        </w:rPr>
        <w:t>V. Ķirsis</w:t>
      </w:r>
    </w:p>
    <w:sectPr w:rsidSect="00931316">
      <w:headerReference w:type="default" r:id="rId4"/>
      <w:footerReference w:type="default" r:id="rId5"/>
      <w:footerReference w:type="first" r:id="rId6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4B8F" w14:paraId="095717F2" w14:textId="2BE9AC12">
    <w:pPr>
      <w:jc w:val="center"/>
    </w:pPr>
  </w:p>
  <w:p>
    <w:pPr>
      <w:jc w:val="center"/>
    </w:pP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t>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905619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464AA1" w:rsidRPr="00464AA1" w14:paraId="095717F0" w14:textId="77777777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64AA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64AA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64AA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464AA1">
          <w:rPr>
            <w:rFonts w:ascii="Times New Roman" w:hAnsi="Times New Roman" w:cs="Times New Roman"/>
            <w:sz w:val="26"/>
            <w:szCs w:val="26"/>
          </w:rPr>
          <w:t>2</w:t>
        </w:r>
        <w:r w:rsidRPr="00464AA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464AA1" w14:paraId="095717F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04C7F2C"/>
    <w:multiLevelType w:val="hybridMultilevel"/>
    <w:tmpl w:val="10E0C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A0C1E"/>
    <w:multiLevelType w:val="hybridMultilevel"/>
    <w:tmpl w:val="20B2C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F6"/>
    <w:rsid w:val="00063AC1"/>
    <w:rsid w:val="000E2EDF"/>
    <w:rsid w:val="00104B8F"/>
    <w:rsid w:val="00110298"/>
    <w:rsid w:val="00112D24"/>
    <w:rsid w:val="001203E8"/>
    <w:rsid w:val="001A4A24"/>
    <w:rsid w:val="001B1E3B"/>
    <w:rsid w:val="00215445"/>
    <w:rsid w:val="00271D86"/>
    <w:rsid w:val="002F56BC"/>
    <w:rsid w:val="00374FD2"/>
    <w:rsid w:val="003D1D7D"/>
    <w:rsid w:val="0042588F"/>
    <w:rsid w:val="00436926"/>
    <w:rsid w:val="00441D3B"/>
    <w:rsid w:val="00444237"/>
    <w:rsid w:val="004573CB"/>
    <w:rsid w:val="00462EF6"/>
    <w:rsid w:val="00464AA1"/>
    <w:rsid w:val="004834C8"/>
    <w:rsid w:val="004E17DC"/>
    <w:rsid w:val="004E403B"/>
    <w:rsid w:val="004E582F"/>
    <w:rsid w:val="00530DBA"/>
    <w:rsid w:val="00585195"/>
    <w:rsid w:val="00616CCC"/>
    <w:rsid w:val="00641B27"/>
    <w:rsid w:val="006434CB"/>
    <w:rsid w:val="006E6F52"/>
    <w:rsid w:val="00722443"/>
    <w:rsid w:val="00751899"/>
    <w:rsid w:val="007752F6"/>
    <w:rsid w:val="007B4B47"/>
    <w:rsid w:val="007E5795"/>
    <w:rsid w:val="00874BDC"/>
    <w:rsid w:val="00884688"/>
    <w:rsid w:val="008C5041"/>
    <w:rsid w:val="008E0AE1"/>
    <w:rsid w:val="00922ED2"/>
    <w:rsid w:val="00931316"/>
    <w:rsid w:val="00931D73"/>
    <w:rsid w:val="00965DE1"/>
    <w:rsid w:val="009668F5"/>
    <w:rsid w:val="00981AF0"/>
    <w:rsid w:val="009A524D"/>
    <w:rsid w:val="009C1D24"/>
    <w:rsid w:val="009D76E9"/>
    <w:rsid w:val="00A42CD9"/>
    <w:rsid w:val="00A446F2"/>
    <w:rsid w:val="00AE7C1E"/>
    <w:rsid w:val="00B92B4B"/>
    <w:rsid w:val="00B9558A"/>
    <w:rsid w:val="00C10B7D"/>
    <w:rsid w:val="00CC142B"/>
    <w:rsid w:val="00CD45C4"/>
    <w:rsid w:val="00CD5B22"/>
    <w:rsid w:val="00D26C0C"/>
    <w:rsid w:val="00D865F3"/>
    <w:rsid w:val="00E4791C"/>
    <w:rsid w:val="00E5750D"/>
    <w:rsid w:val="00E93817"/>
    <w:rsid w:val="00EC7C72"/>
    <w:rsid w:val="00F10E25"/>
    <w:rsid w:val="00F25152"/>
    <w:rsid w:val="00F40D40"/>
    <w:rsid w:val="00FA3E0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911C2C-1C3A-4583-8FE6-C7FC992E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2F6"/>
    <w:pPr>
      <w:ind w:left="720"/>
      <w:contextualSpacing/>
    </w:pPr>
  </w:style>
  <w:style w:type="paragraph" w:styleId="Header">
    <w:name w:val="header"/>
    <w:basedOn w:val="Normal"/>
    <w:link w:val="GalveneRakstz"/>
    <w:uiPriority w:val="99"/>
    <w:unhideWhenUsed/>
    <w:rsid w:val="00464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464AA1"/>
  </w:style>
  <w:style w:type="paragraph" w:styleId="Footer">
    <w:name w:val="footer"/>
    <w:basedOn w:val="Normal"/>
    <w:link w:val="KjeneRakstz"/>
    <w:uiPriority w:val="99"/>
    <w:unhideWhenUsed/>
    <w:rsid w:val="00464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464AA1"/>
  </w:style>
  <w:style w:type="paragraph" w:styleId="Revision">
    <w:name w:val="Revision"/>
    <w:hidden/>
    <w:uiPriority w:val="99"/>
    <w:semiHidden/>
    <w:rsid w:val="00922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4187</Words>
  <Characters>2388</Characters>
  <Application>Microsoft Office Word</Application>
  <DocSecurity>0</DocSecurity>
  <Lines>19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Reinika</dc:creator>
  <cp:lastModifiedBy>Arta Kešāne</cp:lastModifiedBy>
  <cp:revision>37</cp:revision>
  <dcterms:created xsi:type="dcterms:W3CDTF">2023-02-24T13:01:00Z</dcterms:created>
  <dcterms:modified xsi:type="dcterms:W3CDTF">2023-09-28T07:17:00Z</dcterms:modified>
</cp:coreProperties>
</file>