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B661" w14:textId="34A02860" w:rsidR="00AB5240" w:rsidRPr="00A3321B" w:rsidRDefault="00AB5240" w:rsidP="00AB5240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lv-LV"/>
        </w:rPr>
      </w:pP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Pedagoģiski medicīniskajai komisijai </w:t>
      </w:r>
      <w:r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lv-LV"/>
        </w:rPr>
        <w:t>iesniedzamie dokumenti piemērotākās</w:t>
      </w:r>
      <w:r w:rsidR="00945084"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lv-LV"/>
        </w:rPr>
        <w:t xml:space="preserve"> pamatizglītības</w:t>
      </w:r>
      <w:r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lv-LV"/>
        </w:rPr>
        <w:t xml:space="preserve"> programmas ieteikšanai no 1.līdz </w:t>
      </w:r>
      <w:r w:rsidR="00945084"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lv-LV"/>
        </w:rPr>
        <w:t>6</w:t>
      </w:r>
      <w:r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lv-LV"/>
        </w:rPr>
        <w:t>.</w:t>
      </w:r>
      <w:r w:rsidR="00945084"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lv-LV"/>
        </w:rPr>
        <w:t xml:space="preserve"> </w:t>
      </w:r>
      <w:r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lv-LV"/>
        </w:rPr>
        <w:t>klasei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lv-LV"/>
        </w:rPr>
        <w:t>:</w:t>
      </w:r>
    </w:p>
    <w:p w14:paraId="3EA085CC" w14:textId="23815279" w:rsidR="00AB5240" w:rsidRPr="00A3321B" w:rsidRDefault="00AB5240" w:rsidP="00AB5240">
      <w:pPr>
        <w:shd w:val="clear" w:color="auto" w:fill="FFFFFF"/>
        <w:spacing w:before="60" w:after="6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lv-LV"/>
        </w:rPr>
        <w:t>1.Vecāku/pilnvarotās personas iesniegums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(skat. 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Iesniegums piemērotas izglītības programmas noteikšanai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)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, 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veidlapu var aizpildīt vienlaicīgi ar dokumentu iesniegšanu, uzrādot bērna dzimšanas apliecību un: </w:t>
      </w:r>
    </w:p>
    <w:p w14:paraId="2F39C5CB" w14:textId="77777777" w:rsidR="00AB5240" w:rsidRPr="00A3321B" w:rsidRDefault="00AB5240" w:rsidP="00AB5240">
      <w:pPr>
        <w:numPr>
          <w:ilvl w:val="1"/>
          <w:numId w:val="1"/>
        </w:numPr>
        <w:shd w:val="clear" w:color="auto" w:fill="FFFFFF"/>
        <w:spacing w:before="60" w:after="60" w:line="240" w:lineRule="auto"/>
        <w:ind w:left="1890"/>
        <w:jc w:val="both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vecāka vai pilnvarotās personas personu apliecinošu dokumentu;</w:t>
      </w:r>
    </w:p>
    <w:p w14:paraId="5665B8B0" w14:textId="77777777" w:rsidR="00AB5240" w:rsidRPr="00A3321B" w:rsidRDefault="00AB5240" w:rsidP="00AB5240">
      <w:pPr>
        <w:numPr>
          <w:ilvl w:val="1"/>
          <w:numId w:val="1"/>
        </w:numPr>
        <w:shd w:val="clear" w:color="auto" w:fill="FFFFFF"/>
        <w:spacing w:before="60" w:after="60" w:line="240" w:lineRule="auto"/>
        <w:ind w:left="1890"/>
        <w:jc w:val="both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pilnvaru, ja vecāki rakstiski pilnvarojuši personu, kura pārstāvēs bērna intereses komisijā, un pilnvarotās personas apliecinošu dokumentu;</w:t>
      </w:r>
    </w:p>
    <w:p w14:paraId="176B1DC5" w14:textId="77777777" w:rsidR="00AB5240" w:rsidRPr="00A3321B" w:rsidRDefault="00AB5240" w:rsidP="00AB5240">
      <w:pPr>
        <w:numPr>
          <w:ilvl w:val="1"/>
          <w:numId w:val="1"/>
        </w:numPr>
        <w:shd w:val="clear" w:color="auto" w:fill="FFFFFF"/>
        <w:spacing w:before="60" w:after="60" w:line="240" w:lineRule="auto"/>
        <w:ind w:left="1890"/>
        <w:jc w:val="both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bāriņtiesas pilnvarojumu, ja bērnu uz komisiju pavada aizbildnis vai audžuģimene.</w:t>
      </w:r>
    </w:p>
    <w:p w14:paraId="0361BC47" w14:textId="4AE5FD3D" w:rsidR="00AB5240" w:rsidRPr="00A3321B" w:rsidRDefault="00AB5240" w:rsidP="00AB5240">
      <w:pPr>
        <w:pStyle w:val="Sarakstarindkopa"/>
        <w:numPr>
          <w:ilvl w:val="0"/>
          <w:numId w:val="1"/>
        </w:numPr>
        <w:shd w:val="clear" w:color="auto" w:fill="FFFFFF"/>
        <w:tabs>
          <w:tab w:val="num" w:pos="567"/>
        </w:tabs>
        <w:spacing w:before="60" w:after="60" w:line="240" w:lineRule="auto"/>
        <w:ind w:left="709" w:hanging="349"/>
        <w:jc w:val="both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lv-LV"/>
        </w:rPr>
        <w:t xml:space="preserve">Ģimenes ārsta </w:t>
      </w:r>
      <w:r w:rsidR="000A1A29"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lv-LV"/>
        </w:rPr>
        <w:t>slēdziens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par bērna vispārējo veselības stāvokli, norādot ziņas par bērna redzi un dzirdi.</w:t>
      </w:r>
    </w:p>
    <w:p w14:paraId="7BDF2CED" w14:textId="290991DB" w:rsidR="00AB5240" w:rsidRPr="00A3321B" w:rsidRDefault="00AB5240" w:rsidP="00567152">
      <w:pPr>
        <w:numPr>
          <w:ilvl w:val="0"/>
          <w:numId w:val="1"/>
        </w:numPr>
        <w:shd w:val="clear" w:color="auto" w:fill="FFFFFF"/>
        <w:spacing w:before="60" w:after="6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lv-LV"/>
        </w:rPr>
        <w:t xml:space="preserve">Dokumenti no izglītības iestādes - Informācija par izglītojamo komisijai 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(skat. 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Izglītības iestādes informācija</w:t>
      </w:r>
      <w:r w:rsidR="00567152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)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, </w:t>
      </w:r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izdot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a</w:t>
      </w:r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ne agrāk kā trīs mēnešus pirms komisijas sēdes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un</w:t>
      </w:r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Individuālais izglītības plāns</w:t>
      </w:r>
    </w:p>
    <w:p w14:paraId="08B55F58" w14:textId="77777777" w:rsidR="00AB5240" w:rsidRPr="00A3321B" w:rsidRDefault="00AB5240" w:rsidP="000A1A29">
      <w:pPr>
        <w:shd w:val="clear" w:color="auto" w:fill="FFFFFF"/>
        <w:spacing w:before="60" w:after="6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lv-LV"/>
        </w:rPr>
        <w:t xml:space="preserve">Atbilstoši traucējuma veidam papildus </w:t>
      </w:r>
      <w:r w:rsidRPr="00A3321B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iesniedzamie</w:t>
      </w:r>
      <w:r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lv-LV"/>
        </w:rPr>
        <w:t xml:space="preserve"> dokumenti (ārstu speciālistu, psihologa slēdziens) 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: </w:t>
      </w:r>
    </w:p>
    <w:p w14:paraId="31176D44" w14:textId="5E6CEF34" w:rsidR="00AB5240" w:rsidRPr="00A3321B" w:rsidRDefault="00AB5240" w:rsidP="00945084">
      <w:pPr>
        <w:numPr>
          <w:ilvl w:val="1"/>
          <w:numId w:val="1"/>
        </w:numPr>
        <w:shd w:val="clear" w:color="auto" w:fill="FFFFFF"/>
        <w:spacing w:before="60" w:after="60" w:line="240" w:lineRule="auto"/>
        <w:ind w:left="1890"/>
        <w:jc w:val="both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A3321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u w:val="single"/>
          <w:lang w:eastAsia="lv-LV"/>
        </w:rPr>
        <w:t>ar valodas attīstības traucējumiem</w:t>
      </w:r>
      <w:r w:rsidRPr="00A3321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lv-LV"/>
        </w:rPr>
        <w:t xml:space="preserve"> 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– logopēda vai audiologopēda atzinums, izglītības vai klīniskā psihologa atzinums. Izglītojamiem ar izteiktiem un specifiskiem lasīšanas un rakstīšanas traucējumiem, kohleāro implantu</w:t>
      </w:r>
      <w:r w:rsidR="00567152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, stostīšanās gadījumā  – neirologa slēdziens, 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afāzijas ar epilepsiju gadījumā – psihiatra 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slēdziens</w:t>
      </w:r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(Ārstu</w:t>
      </w:r>
      <w:r w:rsidR="00A3321B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slēdzienam </w:t>
      </w:r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jābūt izdotam ne agrāk kā trīs mēnešus pirms komisijas sēdes. Psihologa atzinumam jābūt izdotam ne agrāk kā gadu pirms komisijas sēdes,</w:t>
      </w:r>
      <w:r w:rsidR="00945084" w:rsidRPr="00A3321B">
        <w:rPr>
          <w:rFonts w:ascii="Times New Roman" w:hAnsi="Times New Roman" w:cs="Times New Roman"/>
          <w:color w:val="414142"/>
          <w:sz w:val="26"/>
          <w:szCs w:val="26"/>
          <w:shd w:val="clear" w:color="auto" w:fill="FFFFFF"/>
        </w:rPr>
        <w:t xml:space="preserve"> </w:t>
      </w:r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logopēda vai </w:t>
      </w:r>
      <w:proofErr w:type="spellStart"/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audiologopēda</w:t>
      </w:r>
      <w:proofErr w:type="spellEnd"/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atzinum</w:t>
      </w:r>
      <w:r w:rsidR="00A3321B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am jābūt izdotam</w:t>
      </w:r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ne agrāk kā trīs mēnešus pirms komisijas sēdes)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;</w:t>
      </w:r>
    </w:p>
    <w:p w14:paraId="6AC78951" w14:textId="233D7782" w:rsidR="00AB5240" w:rsidRPr="00A3321B" w:rsidRDefault="00AB5240" w:rsidP="00945084">
      <w:pPr>
        <w:numPr>
          <w:ilvl w:val="1"/>
          <w:numId w:val="1"/>
        </w:numPr>
        <w:shd w:val="clear" w:color="auto" w:fill="FFFFFF"/>
        <w:spacing w:before="60" w:after="60" w:line="240" w:lineRule="auto"/>
        <w:ind w:left="1890"/>
        <w:jc w:val="both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A3321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u w:val="single"/>
          <w:lang w:eastAsia="lv-LV"/>
        </w:rPr>
        <w:t>ar mācīšanās traucējumiem</w:t>
      </w:r>
      <w:r w:rsidRPr="00A3321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lv-LV"/>
        </w:rPr>
        <w:t xml:space="preserve"> 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– izglītības vai klīniskā psihologa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atzinums</w:t>
      </w:r>
      <w:r w:rsidR="00567152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, neirologa,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psihiatra 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slēdzienam</w:t>
      </w:r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(Ārstu 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slēdzienam</w:t>
      </w:r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jābūt izdotam ne agrāk kā sešus mēnešus pirms komisijas sēdes. Psihologa atzinumam jābūt izdotam ne agrāk kā gadu pirms komisijas sēdes)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;</w:t>
      </w:r>
    </w:p>
    <w:p w14:paraId="03EBCA70" w14:textId="5D7FF296" w:rsidR="00AB5240" w:rsidRPr="00A3321B" w:rsidRDefault="00AB5240" w:rsidP="00945084">
      <w:pPr>
        <w:numPr>
          <w:ilvl w:val="1"/>
          <w:numId w:val="1"/>
        </w:numPr>
        <w:shd w:val="clear" w:color="auto" w:fill="FFFFFF"/>
        <w:spacing w:before="60" w:after="60" w:line="240" w:lineRule="auto"/>
        <w:ind w:left="1890"/>
        <w:jc w:val="both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A3321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u w:val="single"/>
          <w:lang w:eastAsia="lv-LV"/>
        </w:rPr>
        <w:t xml:space="preserve">ar garīgās veselības traucējumiem 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– izglītības vai klīniskā psihologa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atzinums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un psihiatra 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slēdziens</w:t>
      </w:r>
      <w:r w:rsidR="00945084" w:rsidRPr="00A3321B">
        <w:rPr>
          <w:rFonts w:ascii="Times New Roman" w:eastAsia="Times New Roman" w:hAnsi="Times New Roman" w:cs="Times New Roman"/>
          <w:color w:val="414142"/>
          <w:sz w:val="26"/>
          <w:szCs w:val="26"/>
          <w:shd w:val="clear" w:color="auto" w:fill="FFFFFF"/>
          <w:lang w:eastAsia="lv-LV"/>
        </w:rPr>
        <w:t xml:space="preserve"> (</w:t>
      </w:r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Ārstu 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slēdzienam </w:t>
      </w:r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jābūt izdotam ne agrāk kā trīs mēnešus pirms komisijas sēdes. Psihologa atzinumam jābūt izdotam ne agrāk kā gadu pirms komisijas sēdes)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;</w:t>
      </w:r>
    </w:p>
    <w:p w14:paraId="0008C2CA" w14:textId="3F20E824" w:rsidR="00945084" w:rsidRPr="00A3321B" w:rsidRDefault="00AB5240" w:rsidP="00945084">
      <w:pPr>
        <w:numPr>
          <w:ilvl w:val="1"/>
          <w:numId w:val="1"/>
        </w:numPr>
        <w:shd w:val="clear" w:color="auto" w:fill="FFFFFF"/>
        <w:spacing w:before="60" w:after="60" w:line="240" w:lineRule="auto"/>
        <w:ind w:left="1890"/>
        <w:jc w:val="both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A3321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u w:val="single"/>
          <w:lang w:eastAsia="lv-LV"/>
        </w:rPr>
        <w:t xml:space="preserve">ar garīgās attīstības traucējumiem, ar smagiem garīgās attīstības traucējumiem vai vairākiem smagiem attīstības traucējumiem </w:t>
      </w:r>
      <w:r w:rsidRPr="00A3321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lv-LV"/>
        </w:rPr>
        <w:t>-</w:t>
      </w:r>
      <w:r w:rsidR="00A3321B" w:rsidRPr="00A3321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lv-LV"/>
        </w:rPr>
        <w:t xml:space="preserve"> 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izglītības vai klīniskā psihologa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atzinums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un psihiatra 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slēdziens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, vairāku attīstības traucējumu gadījumā – 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lastRenderedPageBreak/>
        <w:t xml:space="preserve">dažādu ārstu – speciālistu 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slēdzieni</w:t>
      </w:r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(Ārstu 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slēdzienam</w:t>
      </w:r>
      <w:r w:rsidR="00945084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jābūt izdotam ne agrāk kā sešus mēnešus pirms komisijas sēdes. Psihologa atzinumam jābūt izdotam ne agrāk kā gadu pirms komisijas sēdes)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;</w:t>
      </w:r>
    </w:p>
    <w:p w14:paraId="4BF2F76F" w14:textId="54AB51BD" w:rsidR="00AB5240" w:rsidRPr="00A3321B" w:rsidRDefault="00945084" w:rsidP="00945084">
      <w:pPr>
        <w:shd w:val="clear" w:color="auto" w:fill="FFFFFF"/>
        <w:spacing w:before="60" w:after="6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Ņ</w:t>
      </w:r>
      <w:r w:rsidR="00AB5240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emot vērā bērna veselības stāvokļa izmaiņas, papildus iepriekš norādītajiem 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dokumentiem</w:t>
      </w:r>
      <w:r w:rsidR="00AB5240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, </w:t>
      </w:r>
      <w:r w:rsidR="00AB5240" w:rsidRPr="00A332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lv-LV"/>
        </w:rPr>
        <w:t xml:space="preserve">veselības stāvokļa precizēšanai </w:t>
      </w:r>
      <w:r w:rsidR="00AB5240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var iesniegt citu speciālistu </w:t>
      </w:r>
      <w:r w:rsidR="000A1A29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slēdzienus</w:t>
      </w:r>
      <w:r w:rsidR="00AB5240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, piemēram,  izrakstus no stacionāra, rehabilitācijas iestādes</w:t>
      </w:r>
      <w:r w:rsidR="00567152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, ABA terapijas speciālistu slēdzienus </w:t>
      </w:r>
      <w:r w:rsidR="00AB5240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(to kopijas).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</w:t>
      </w:r>
      <w:r w:rsidR="00AB5240" w:rsidRPr="00A3321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lv-LV"/>
        </w:rPr>
        <w:t>Izglītojamā sekmju izrakst</w:t>
      </w:r>
      <w:r w:rsidRPr="00A3321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lv-LV"/>
        </w:rPr>
        <w:t>us</w:t>
      </w:r>
      <w:r w:rsidR="00AB5240" w:rsidRPr="00A3321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lv-LV"/>
        </w:rPr>
        <w:t xml:space="preserve"> un liecīb</w:t>
      </w:r>
      <w:r w:rsidRPr="00A3321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lv-LV"/>
        </w:rPr>
        <w:t>u</w:t>
      </w:r>
      <w:r w:rsidR="00AB5240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, kā arī izglītojamā darba burtnīcas un viņa veikt</w:t>
      </w: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os</w:t>
      </w:r>
      <w:r w:rsidR="00AB5240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</w:t>
      </w:r>
      <w:r w:rsidR="00AB5240" w:rsidRPr="00A3321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lv-LV"/>
        </w:rPr>
        <w:t>pārbaudes darb</w:t>
      </w:r>
      <w:r w:rsidRPr="00A3321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lv-LV"/>
        </w:rPr>
        <w:t>us</w:t>
      </w:r>
      <w:r w:rsidR="00AB5240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matemātikā un dzimtajā valo</w:t>
      </w:r>
      <w:r w:rsidR="0002283B"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dā.</w:t>
      </w:r>
    </w:p>
    <w:p w14:paraId="5E602DAD" w14:textId="101DE0CE" w:rsidR="00A3321B" w:rsidRPr="00A3321B" w:rsidRDefault="00A3321B" w:rsidP="00945084">
      <w:pPr>
        <w:shd w:val="clear" w:color="auto" w:fill="FFFFFF"/>
        <w:spacing w:before="60" w:after="6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A3321B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Pašvaldību komisiju kompetencē ir sniegt atzinumu par atbilstošāko  speciālās pamatizglītības programmu izglītojamiem ar smagiem garīgās attīstības vai vairākiem smagiem attīstības traucējumiem no 1. līdz 9. klasei.</w:t>
      </w:r>
    </w:p>
    <w:p w14:paraId="17C2D3B1" w14:textId="77777777" w:rsidR="00B33E2D" w:rsidRPr="00A3321B" w:rsidRDefault="00B33E2D">
      <w:pPr>
        <w:rPr>
          <w:rFonts w:ascii="Times New Roman" w:hAnsi="Times New Roman" w:cs="Times New Roman"/>
          <w:sz w:val="26"/>
          <w:szCs w:val="26"/>
        </w:rPr>
      </w:pPr>
    </w:p>
    <w:sectPr w:rsidR="00B33E2D" w:rsidRPr="00A332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055EE"/>
    <w:multiLevelType w:val="multilevel"/>
    <w:tmpl w:val="E82A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5290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40"/>
    <w:rsid w:val="0002283B"/>
    <w:rsid w:val="000A1A29"/>
    <w:rsid w:val="00103618"/>
    <w:rsid w:val="00567152"/>
    <w:rsid w:val="00945084"/>
    <w:rsid w:val="00A3321B"/>
    <w:rsid w:val="00AB0247"/>
    <w:rsid w:val="00AB5240"/>
    <w:rsid w:val="00B33E2D"/>
    <w:rsid w:val="00B926A5"/>
    <w:rsid w:val="00CF2D22"/>
    <w:rsid w:val="00E2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82A5C"/>
  <w15:chartTrackingRefBased/>
  <w15:docId w15:val="{72D79B3A-17CC-4134-A77A-DC018BA6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B5240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B524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B5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5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Līsmane</dc:creator>
  <cp:keywords/>
  <dc:description/>
  <cp:lastModifiedBy>Ināra Līsmane</cp:lastModifiedBy>
  <cp:revision>3</cp:revision>
  <cp:lastPrinted>2023-01-09T12:14:00Z</cp:lastPrinted>
  <dcterms:created xsi:type="dcterms:W3CDTF">2025-02-13T18:05:00Z</dcterms:created>
  <dcterms:modified xsi:type="dcterms:W3CDTF">2025-02-20T10:43:00Z</dcterms:modified>
</cp:coreProperties>
</file>